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44"/>
          <w:szCs w:val="44"/>
          <w:b w:val="1"/>
          <w:bCs w:val="1"/>
        </w:rPr>
        <w:t xml:space="preserve">Alex Thompson</w:t>
      </w:r>
    </w:p>
    <w:p>
      <w:pPr>
        <w:jc w:val="center"/>
      </w:pPr>
      <w:r>
        <w:rPr>
          <w:color w:val="5A6C7D"/>
          <w:sz w:val="24"/>
          <w:szCs w:val="24"/>
        </w:rPr>
        <w:t xml:space="preserve">Executive Profile</w:t>
      </w:r>
    </w:p>
    <w:p>
      <w:pPr>
        <w:jc w:val="center"/>
      </w:pPr>
      <w:r>
        <w:rPr>
          <w:sz w:val="18"/>
          <w:szCs w:val="18"/>
        </w:rPr>
        <w:t xml:space="preserve">alex.thompson@example.com | +44 7700 900077 | London, UK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Accomplished senior leader with 15+ years of strategic management experience. Proven track record in organizational growth, revenue optimization, and building high-performance leadership teams.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4B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EFE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2026-04-16T12:07:07+00:00</dcterms:created>
  <dcterms:modified xsi:type="dcterms:W3CDTF">2026-04-16T12:07:07+00:00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